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13.03.2019 N 114</w:t>
              <w:br/>
              <w:t xml:space="preserve">"Об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br/>
              <w:t xml:space="preserve">(Зарегистрировано в Минюсте России 25.04.2019 N 54499)</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05.09.2024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25 апреля 2019 г. N 54499</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ПРОСВЕЩЕНИЯ РОССИЙСКОЙ ФЕДЕРАЦИИ</w:t>
      </w:r>
    </w:p>
    <w:p>
      <w:pPr>
        <w:pStyle w:val="2"/>
        <w:jc w:val="both"/>
      </w:pPr>
      <w:r>
        <w:rPr>
          <w:sz w:val="20"/>
        </w:rPr>
      </w:r>
    </w:p>
    <w:p>
      <w:pPr>
        <w:pStyle w:val="2"/>
        <w:jc w:val="center"/>
      </w:pPr>
      <w:r>
        <w:rPr>
          <w:sz w:val="20"/>
        </w:rPr>
        <w:t xml:space="preserve">ПРИКАЗ</w:t>
      </w:r>
    </w:p>
    <w:p>
      <w:pPr>
        <w:pStyle w:val="2"/>
        <w:jc w:val="center"/>
      </w:pPr>
      <w:r>
        <w:rPr>
          <w:sz w:val="20"/>
        </w:rPr>
        <w:t xml:space="preserve">от 13 марта 2019 г. N 114</w:t>
      </w:r>
    </w:p>
    <w:p>
      <w:pPr>
        <w:pStyle w:val="2"/>
        <w:jc w:val="both"/>
      </w:pPr>
      <w:r>
        <w:rPr>
          <w:sz w:val="20"/>
        </w:rPr>
      </w:r>
    </w:p>
    <w:p>
      <w:pPr>
        <w:pStyle w:val="2"/>
        <w:jc w:val="center"/>
      </w:pPr>
      <w:r>
        <w:rPr>
          <w:sz w:val="20"/>
        </w:rPr>
        <w:t xml:space="preserve">ОБ УТВЕРЖДЕНИИ ПОКАЗАТЕЛЕЙ,</w:t>
      </w:r>
    </w:p>
    <w:p>
      <w:pPr>
        <w:pStyle w:val="2"/>
        <w:jc w:val="center"/>
      </w:pPr>
      <w:r>
        <w:rPr>
          <w:sz w:val="20"/>
        </w:rPr>
        <w:t xml:space="preserve">ХАРАКТЕРИЗУЮЩИХ ОБЩИЕ КРИТЕРИИ ОЦЕНКИ КАЧЕСТВА УСЛОВИЙ</w:t>
      </w:r>
    </w:p>
    <w:p>
      <w:pPr>
        <w:pStyle w:val="2"/>
        <w:jc w:val="center"/>
      </w:pPr>
      <w:r>
        <w:rPr>
          <w:sz w:val="20"/>
        </w:rPr>
        <w:t xml:space="preserve">ОСУЩЕСТВЛЕНИЯ ОБРАЗОВАТЕЛЬНОЙ ДЕЯТЕЛЬНОСТИ ОРГАНИЗАЦИЯМИ,</w:t>
      </w:r>
    </w:p>
    <w:p>
      <w:pPr>
        <w:pStyle w:val="2"/>
        <w:jc w:val="center"/>
      </w:pPr>
      <w:r>
        <w:rPr>
          <w:sz w:val="20"/>
        </w:rPr>
        <w:t xml:space="preserve">ОСУЩЕСТВЛЯЮЩИМИ ОБРАЗОВАТЕЛЬНУЮ ДЕЯТЕЛЬНОСТЬ ПО ОСНОВНЫМ</w:t>
      </w:r>
    </w:p>
    <w:p>
      <w:pPr>
        <w:pStyle w:val="2"/>
        <w:jc w:val="center"/>
      </w:pPr>
      <w:r>
        <w:rPr>
          <w:sz w:val="20"/>
        </w:rPr>
        <w:t xml:space="preserve">ОБЩЕОБРАЗОВАТЕЛЬНЫМ ПРОГРАММАМ, ОБРАЗОВАТЕЛЬНЫМ ПРОГРАММАМ</w:t>
      </w:r>
    </w:p>
    <w:p>
      <w:pPr>
        <w:pStyle w:val="2"/>
        <w:jc w:val="center"/>
      </w:pPr>
      <w:r>
        <w:rPr>
          <w:sz w:val="20"/>
        </w:rPr>
        <w:t xml:space="preserve">СРЕДНЕГО ПРОФЕССИОНАЛЬНОГО ОБРАЗОВАНИЯ, ОСНОВНЫМ ПРОГРАММАМ</w:t>
      </w:r>
    </w:p>
    <w:p>
      <w:pPr>
        <w:pStyle w:val="2"/>
        <w:jc w:val="center"/>
      </w:pPr>
      <w:r>
        <w:rPr>
          <w:sz w:val="20"/>
        </w:rPr>
        <w:t xml:space="preserve">ПРОФЕССИОНАЛЬНОГО ОБУЧЕНИЯ, ДОПОЛНИТЕЛЬНЫМ</w:t>
      </w:r>
    </w:p>
    <w:p>
      <w:pPr>
        <w:pStyle w:val="2"/>
        <w:jc w:val="center"/>
      </w:pPr>
      <w:r>
        <w:rPr>
          <w:sz w:val="20"/>
        </w:rPr>
        <w:t xml:space="preserve">ОБЩЕОБРАЗОВАТЕЛЬНЫМ ПРОГРАММАМ</w:t>
      </w:r>
    </w:p>
    <w:p>
      <w:pPr>
        <w:pStyle w:val="0"/>
        <w:jc w:val="both"/>
      </w:pPr>
      <w:r>
        <w:rPr>
          <w:sz w:val="20"/>
        </w:rPr>
      </w:r>
    </w:p>
    <w:p>
      <w:pPr>
        <w:pStyle w:val="0"/>
        <w:ind w:firstLine="540"/>
        <w:jc w:val="both"/>
      </w:pPr>
      <w:r>
        <w:rPr>
          <w:sz w:val="20"/>
        </w:rPr>
        <w:t xml:space="preserve">В соответствии с </w:t>
      </w:r>
      <w:hyperlink w:history="0" r:id="rId7" w:tooltip="Постановление Правительства РФ от 28.07.2018 N 884 (ред. от 12.07.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4.2.49</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 (Собрание законодательства Российской Федерации, 2018, N 32, ст. 5343), приказываю:</w:t>
      </w:r>
    </w:p>
    <w:p>
      <w:pPr>
        <w:pStyle w:val="0"/>
        <w:spacing w:before="200" w:line-rule="auto"/>
        <w:ind w:firstLine="540"/>
        <w:jc w:val="both"/>
      </w:pPr>
      <w:r>
        <w:rPr>
          <w:sz w:val="20"/>
        </w:rPr>
        <w:t xml:space="preserve">Утвердить прилагаемые </w:t>
      </w:r>
      <w:hyperlink w:history="0" w:anchor="P35" w:tooltip="ПОКАЗАТЕЛИ,">
        <w:r>
          <w:rPr>
            <w:sz w:val="20"/>
            <w:color w:val="0000ff"/>
          </w:rPr>
          <w:t xml:space="preserve">показатели</w:t>
        </w:r>
      </w:hyperlink>
      <w:r>
        <w:rPr>
          <w:sz w:val="20"/>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pPr>
        <w:pStyle w:val="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Утверждены</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13 марта 2019 г. N 114</w:t>
      </w:r>
    </w:p>
    <w:p>
      <w:pPr>
        <w:pStyle w:val="0"/>
        <w:jc w:val="both"/>
      </w:pPr>
      <w:r>
        <w:rPr>
          <w:sz w:val="20"/>
        </w:rPr>
      </w:r>
    </w:p>
    <w:bookmarkStart w:id="35" w:name="P35"/>
    <w:bookmarkEnd w:id="35"/>
    <w:p>
      <w:pPr>
        <w:pStyle w:val="2"/>
        <w:jc w:val="center"/>
      </w:pPr>
      <w:r>
        <w:rPr>
          <w:sz w:val="20"/>
        </w:rPr>
        <w:t xml:space="preserve">ПОКАЗАТЕЛИ,</w:t>
      </w:r>
    </w:p>
    <w:p>
      <w:pPr>
        <w:pStyle w:val="2"/>
        <w:jc w:val="center"/>
      </w:pPr>
      <w:r>
        <w:rPr>
          <w:sz w:val="20"/>
        </w:rPr>
        <w:t xml:space="preserve">ХАРАКТЕРИЗУЮЩИЕ ОБЩИЕ КРИТЕРИИ ОЦЕНКИ КАЧЕСТВА УСЛОВИЙ</w:t>
      </w:r>
    </w:p>
    <w:p>
      <w:pPr>
        <w:pStyle w:val="2"/>
        <w:jc w:val="center"/>
      </w:pPr>
      <w:r>
        <w:rPr>
          <w:sz w:val="20"/>
        </w:rPr>
        <w:t xml:space="preserve">ОСУЩЕСТВЛЕНИЯ ОБРАЗОВАТЕЛЬНОЙ ДЕЯТЕЛЬНОСТИ ОРГАНИЗАЦИЯМИ,</w:t>
      </w:r>
    </w:p>
    <w:p>
      <w:pPr>
        <w:pStyle w:val="2"/>
        <w:jc w:val="center"/>
      </w:pPr>
      <w:r>
        <w:rPr>
          <w:sz w:val="20"/>
        </w:rPr>
        <w:t xml:space="preserve">ОСУЩЕСТВЛЯЮЩИМИ ОБРАЗОВАТЕЛЬНУЮ ДЕЯТЕЛЬНОСТЬ ПО ОСНОВНЫМ</w:t>
      </w:r>
    </w:p>
    <w:p>
      <w:pPr>
        <w:pStyle w:val="2"/>
        <w:jc w:val="center"/>
      </w:pPr>
      <w:r>
        <w:rPr>
          <w:sz w:val="20"/>
        </w:rPr>
        <w:t xml:space="preserve">ОБЩЕОБРАЗОВАТЕЛЬНЫМ ПРОГРАММАМ, ОБРАЗОВАТЕЛЬНЫМ ПРОГРАММАМ</w:t>
      </w:r>
    </w:p>
    <w:p>
      <w:pPr>
        <w:pStyle w:val="2"/>
        <w:jc w:val="center"/>
      </w:pPr>
      <w:r>
        <w:rPr>
          <w:sz w:val="20"/>
        </w:rPr>
        <w:t xml:space="preserve">СРЕДНЕГО ПРОФЕССИОНАЛЬНОГО ОБРАЗОВАНИЯ, ОСНОВНЫМ ПРОГРАММАМ</w:t>
      </w:r>
    </w:p>
    <w:p>
      <w:pPr>
        <w:pStyle w:val="2"/>
        <w:jc w:val="center"/>
      </w:pPr>
      <w:r>
        <w:rPr>
          <w:sz w:val="20"/>
        </w:rPr>
        <w:t xml:space="preserve">ПРОФЕССИОНАЛЬНОГО ОБУЧЕНИЯ, ДОПОЛНИТЕЛЬНЫМ</w:t>
      </w:r>
    </w:p>
    <w:p>
      <w:pPr>
        <w:pStyle w:val="2"/>
        <w:jc w:val="center"/>
      </w:pPr>
      <w:r>
        <w:rPr>
          <w:sz w:val="20"/>
        </w:rPr>
        <w:t xml:space="preserve">ОБЩЕОБРАЗОВАТЕЛЬНЫМ ПРОГРАММАМ</w:t>
      </w:r>
    </w:p>
    <w:p>
      <w:pPr>
        <w:pStyle w:val="0"/>
        <w:jc w:val="both"/>
      </w:pPr>
      <w:r>
        <w:rPr>
          <w:sz w:val="20"/>
        </w:rPr>
      </w:r>
    </w:p>
    <w:p>
      <w:pPr>
        <w:pStyle w:val="2"/>
        <w:outlineLvl w:val="1"/>
        <w:jc w:val="center"/>
      </w:pPr>
      <w:r>
        <w:rPr>
          <w:sz w:val="20"/>
        </w:rPr>
        <w:t xml:space="preserve">I. Показатели, характеризующие открытость и доступность</w:t>
      </w:r>
    </w:p>
    <w:p>
      <w:pPr>
        <w:pStyle w:val="2"/>
        <w:jc w:val="center"/>
      </w:pPr>
      <w:r>
        <w:rPr>
          <w:sz w:val="20"/>
        </w:rPr>
        <w:t xml:space="preserve">информации об организации, осуществляющей образовательную</w:t>
      </w:r>
    </w:p>
    <w:p>
      <w:pPr>
        <w:pStyle w:val="2"/>
        <w:jc w:val="center"/>
      </w:pPr>
      <w:r>
        <w:rPr>
          <w:sz w:val="20"/>
        </w:rPr>
        <w:t xml:space="preserve">деятельность (далее - организации)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8447"/>
      </w:tblGrid>
      <w:tr>
        <w:tc>
          <w:tcPr>
            <w:tcW w:w="624" w:type="dxa"/>
          </w:tcPr>
          <w:p>
            <w:pPr>
              <w:pStyle w:val="0"/>
              <w:jc w:val="center"/>
            </w:pPr>
            <w:r>
              <w:rPr>
                <w:sz w:val="20"/>
              </w:rPr>
              <w:t xml:space="preserve">N п/п</w:t>
            </w:r>
          </w:p>
        </w:tc>
        <w:tc>
          <w:tcPr>
            <w:tcW w:w="8447" w:type="dxa"/>
          </w:tcPr>
          <w:p>
            <w:pPr>
              <w:pStyle w:val="0"/>
              <w:jc w:val="center"/>
            </w:pPr>
            <w:r>
              <w:rPr>
                <w:sz w:val="20"/>
              </w:rPr>
              <w:t xml:space="preserve">Показатели</w:t>
            </w:r>
          </w:p>
        </w:tc>
      </w:tr>
      <w:tr>
        <w:tc>
          <w:tcPr>
            <w:tcW w:w="624" w:type="dxa"/>
            <w:vAlign w:val="center"/>
          </w:tcPr>
          <w:p>
            <w:pPr>
              <w:pStyle w:val="0"/>
              <w:jc w:val="center"/>
            </w:pPr>
            <w:r>
              <w:rPr>
                <w:sz w:val="20"/>
              </w:rPr>
              <w:t xml:space="preserve">1.1.</w:t>
            </w:r>
          </w:p>
        </w:tc>
        <w:tc>
          <w:tcPr>
            <w:tcW w:w="8447" w:type="dxa"/>
          </w:tcPr>
          <w:p>
            <w:pPr>
              <w:pStyle w:val="0"/>
              <w:jc w:val="both"/>
            </w:pPr>
            <w:r>
              <w:rPr>
                <w:sz w:val="20"/>
              </w:rPr>
              <w:t xml:space="preserve">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pPr>
              <w:pStyle w:val="0"/>
              <w:jc w:val="both"/>
            </w:pPr>
            <w:r>
              <w:rPr>
                <w:sz w:val="20"/>
              </w:rPr>
              <w:t xml:space="preserve">- на информационных стендах в помещении организации;</w:t>
            </w:r>
          </w:p>
          <w:p>
            <w:pPr>
              <w:pStyle w:val="0"/>
              <w:jc w:val="both"/>
            </w:pPr>
            <w:r>
              <w:rPr>
                <w:sz w:val="20"/>
              </w:rPr>
              <w:t xml:space="preserve">- на официальном сайте организации в информационно-телекоммуникационной сети "Интернет" (далее - сайт) </w:t>
            </w:r>
            <w:hyperlink w:history="0" w:anchor="P64" w:tooltip="&lt;1&gt; Статья 29 Федерального закона от 29 декабря 2012 г. N 273-ФЗ &quot;Об образовании в Российской Федерации&quot; (Собрание законодательства Российской Федерации, 2012, N 53, ст. 7598; 2015, N 27, ст. 3989), постановление Правительства Российской Федерации от 10 июля 2013 г. N 582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quot; (Собрание законодательства Российской Федера...">
              <w:r>
                <w:rPr>
                  <w:sz w:val="20"/>
                  <w:color w:val="0000ff"/>
                </w:rPr>
                <w:t xml:space="preserve">&lt;1&gt;</w:t>
              </w:r>
            </w:hyperlink>
          </w:p>
        </w:tc>
      </w:tr>
      <w:tr>
        <w:tc>
          <w:tcPr>
            <w:tcW w:w="624" w:type="dxa"/>
            <w:vAlign w:val="center"/>
          </w:tcPr>
          <w:p>
            <w:pPr>
              <w:pStyle w:val="0"/>
              <w:jc w:val="center"/>
            </w:pPr>
            <w:r>
              <w:rPr>
                <w:sz w:val="20"/>
              </w:rPr>
              <w:t xml:space="preserve">1.2.</w:t>
            </w:r>
          </w:p>
        </w:tc>
        <w:tc>
          <w:tcPr>
            <w:tcW w:w="8447" w:type="dxa"/>
          </w:tcPr>
          <w:p>
            <w:pPr>
              <w:pStyle w:val="0"/>
              <w:jc w:val="both"/>
            </w:pPr>
            <w:r>
              <w:rPr>
                <w:sz w:val="20"/>
              </w:rPr>
              <w:t xml:space="preserve">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pPr>
              <w:pStyle w:val="0"/>
              <w:jc w:val="both"/>
            </w:pPr>
            <w:r>
              <w:rPr>
                <w:sz w:val="20"/>
              </w:rPr>
              <w:t xml:space="preserve">- телефона;</w:t>
            </w:r>
          </w:p>
          <w:p>
            <w:pPr>
              <w:pStyle w:val="0"/>
              <w:jc w:val="both"/>
            </w:pPr>
            <w:r>
              <w:rPr>
                <w:sz w:val="20"/>
              </w:rPr>
              <w:t xml:space="preserve">- электронной почты;</w:t>
            </w:r>
          </w:p>
          <w:p>
            <w:pPr>
              <w:pStyle w:val="0"/>
              <w:jc w:val="both"/>
            </w:pPr>
            <w:r>
              <w:rPr>
                <w:sz w:val="20"/>
              </w:rPr>
              <w:t xml:space="preserve">- электронных сервисов (форма для подачи электронного обращения, получение консультации по оказываемым услугам, раздел "Часто задаваемые вопросы");</w:t>
            </w:r>
          </w:p>
          <w:p>
            <w:pPr>
              <w:pStyle w:val="0"/>
              <w:jc w:val="both"/>
            </w:pPr>
            <w:r>
              <w:rPr>
                <w:sz w:val="20"/>
              </w:rPr>
              <w:t xml:space="preserve">-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tc>
          <w:tcPr>
            <w:tcW w:w="624" w:type="dxa"/>
            <w:vAlign w:val="center"/>
          </w:tcPr>
          <w:p>
            <w:pPr>
              <w:pStyle w:val="0"/>
              <w:jc w:val="center"/>
            </w:pPr>
            <w:r>
              <w:rPr>
                <w:sz w:val="20"/>
              </w:rPr>
              <w:t xml:space="preserve">1.3.</w:t>
            </w:r>
          </w:p>
        </w:tc>
        <w:tc>
          <w:tcPr>
            <w:tcW w:w="8447" w:type="dxa"/>
          </w:tcPr>
          <w:p>
            <w:pPr>
              <w:pStyle w:val="0"/>
              <w:jc w:val="both"/>
            </w:pPr>
            <w:r>
              <w:rPr>
                <w:sz w:val="20"/>
              </w:rPr>
              <w:t xml:space="preserve">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tc>
      </w:tr>
    </w:tbl>
    <w:p>
      <w:pPr>
        <w:pStyle w:val="0"/>
        <w:jc w:val="both"/>
      </w:pPr>
      <w:r>
        <w:rPr>
          <w:sz w:val="20"/>
        </w:rPr>
      </w:r>
    </w:p>
    <w:p>
      <w:pPr>
        <w:pStyle w:val="0"/>
        <w:ind w:firstLine="540"/>
        <w:jc w:val="both"/>
      </w:pPr>
      <w:r>
        <w:rPr>
          <w:sz w:val="20"/>
        </w:rPr>
        <w:t xml:space="preserve">--------------------------------</w:t>
      </w:r>
    </w:p>
    <w:bookmarkStart w:id="64" w:name="P64"/>
    <w:bookmarkEnd w:id="64"/>
    <w:p>
      <w:pPr>
        <w:pStyle w:val="0"/>
        <w:spacing w:before="200" w:line-rule="auto"/>
        <w:ind w:firstLine="540"/>
        <w:jc w:val="both"/>
      </w:pPr>
      <w:r>
        <w:rPr>
          <w:sz w:val="20"/>
        </w:rPr>
        <w:t xml:space="preserve">&lt;1&gt; </w:t>
      </w:r>
      <w:hyperlink w:history="0" r:id="rId8" w:tooltip="Федеральный закон от 29.12.2012 N 273-ФЗ (ред. от 08.08.2024) &quot;Об образовании в Российской Федерации&quot; ------------ Недействующая редакция {КонсультантПлюс}">
        <w:r>
          <w:rPr>
            <w:sz w:val="20"/>
            <w:color w:val="0000ff"/>
          </w:rPr>
          <w:t xml:space="preserve">Статья 29</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2015, N 27, ст. 3989), </w:t>
      </w:r>
      <w:hyperlink w:history="0" r:id="rId9" w:tooltip="Постановление Правительства РФ от 10.07.2013 N 582 (ред. от 11.07.2020)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(Собрание законодательства Российской Федерации, 2013, N 29, ст. 3964; 2015, N 43, ст. 5979; 2017, N 21, ст. 3025; N 33, ст. 5202).</w:t>
      </w:r>
    </w:p>
    <w:p>
      <w:pPr>
        <w:pStyle w:val="0"/>
        <w:jc w:val="both"/>
      </w:pPr>
      <w:r>
        <w:rPr>
          <w:sz w:val="20"/>
        </w:rPr>
      </w:r>
    </w:p>
    <w:p>
      <w:pPr>
        <w:pStyle w:val="2"/>
        <w:outlineLvl w:val="1"/>
        <w:jc w:val="center"/>
      </w:pPr>
      <w:r>
        <w:rPr>
          <w:sz w:val="20"/>
        </w:rPr>
        <w:t xml:space="preserve">II. Показатели, характеризующие комфортность условий,</w:t>
      </w:r>
    </w:p>
    <w:p>
      <w:pPr>
        <w:pStyle w:val="2"/>
        <w:jc w:val="center"/>
      </w:pPr>
      <w:r>
        <w:rPr>
          <w:sz w:val="20"/>
        </w:rPr>
        <w:t xml:space="preserve">в которых осуществляется образовательная деятельность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8447"/>
      </w:tblGrid>
      <w:tr>
        <w:tc>
          <w:tcPr>
            <w:tcW w:w="624" w:type="dxa"/>
          </w:tcPr>
          <w:p>
            <w:pPr>
              <w:pStyle w:val="0"/>
              <w:jc w:val="center"/>
            </w:pPr>
            <w:r>
              <w:rPr>
                <w:sz w:val="20"/>
              </w:rPr>
              <w:t xml:space="preserve">N п/п</w:t>
            </w:r>
          </w:p>
        </w:tc>
        <w:tc>
          <w:tcPr>
            <w:tcW w:w="8447" w:type="dxa"/>
          </w:tcPr>
          <w:p>
            <w:pPr>
              <w:pStyle w:val="0"/>
              <w:jc w:val="center"/>
            </w:pPr>
            <w:r>
              <w:rPr>
                <w:sz w:val="20"/>
              </w:rPr>
              <w:t xml:space="preserve">Показатели</w:t>
            </w:r>
          </w:p>
        </w:tc>
      </w:tr>
      <w:tr>
        <w:tc>
          <w:tcPr>
            <w:tcW w:w="624" w:type="dxa"/>
            <w:vAlign w:val="center"/>
          </w:tcPr>
          <w:p>
            <w:pPr>
              <w:pStyle w:val="0"/>
              <w:jc w:val="center"/>
            </w:pPr>
            <w:r>
              <w:rPr>
                <w:sz w:val="20"/>
              </w:rPr>
              <w:t xml:space="preserve">2.1.</w:t>
            </w:r>
          </w:p>
        </w:tc>
        <w:tc>
          <w:tcPr>
            <w:tcW w:w="8447" w:type="dxa"/>
          </w:tcPr>
          <w:p>
            <w:pPr>
              <w:pStyle w:val="0"/>
              <w:jc w:val="both"/>
            </w:pPr>
            <w:r>
              <w:rPr>
                <w:sz w:val="20"/>
              </w:rPr>
              <w:t xml:space="preserve">Обеспечение в организации комфортных условий, в которых осуществляется образовательная деятельность:</w:t>
            </w:r>
          </w:p>
          <w:p>
            <w:pPr>
              <w:pStyle w:val="0"/>
              <w:jc w:val="both"/>
            </w:pPr>
            <w:r>
              <w:rPr>
                <w:sz w:val="20"/>
              </w:rPr>
              <w:t xml:space="preserve">- наличие зоны отдыха (ожидания);</w:t>
            </w:r>
          </w:p>
          <w:p>
            <w:pPr>
              <w:pStyle w:val="0"/>
              <w:jc w:val="both"/>
            </w:pPr>
            <w:r>
              <w:rPr>
                <w:sz w:val="20"/>
              </w:rPr>
              <w:t xml:space="preserve">- наличие и понятность навигации внутри организации;</w:t>
            </w:r>
          </w:p>
          <w:p>
            <w:pPr>
              <w:pStyle w:val="0"/>
              <w:jc w:val="both"/>
            </w:pPr>
            <w:r>
              <w:rPr>
                <w:sz w:val="20"/>
              </w:rPr>
              <w:t xml:space="preserve">- наличие и доступность питьевой воды;</w:t>
            </w:r>
          </w:p>
          <w:p>
            <w:pPr>
              <w:pStyle w:val="0"/>
              <w:jc w:val="both"/>
            </w:pPr>
            <w:r>
              <w:rPr>
                <w:sz w:val="20"/>
              </w:rPr>
              <w:t xml:space="preserve">- наличие и доступность санитарно-гигиенических помещений;</w:t>
            </w:r>
          </w:p>
          <w:p>
            <w:pPr>
              <w:pStyle w:val="0"/>
              <w:jc w:val="both"/>
            </w:pPr>
            <w:r>
              <w:rPr>
                <w:sz w:val="20"/>
              </w:rPr>
              <w:t xml:space="preserve">- санитарное состояние помещений организации</w:t>
            </w:r>
          </w:p>
        </w:tc>
      </w:tr>
      <w:tr>
        <w:tc>
          <w:tcPr>
            <w:tcW w:w="624" w:type="dxa"/>
            <w:vAlign w:val="center"/>
          </w:tcPr>
          <w:p>
            <w:pPr>
              <w:pStyle w:val="0"/>
              <w:jc w:val="center"/>
            </w:pPr>
            <w:r>
              <w:rPr>
                <w:sz w:val="20"/>
              </w:rPr>
              <w:t xml:space="preserve">2.2.</w:t>
            </w:r>
          </w:p>
        </w:tc>
        <w:tc>
          <w:tcPr>
            <w:tcW w:w="8447" w:type="dxa"/>
          </w:tcPr>
          <w:p>
            <w:pPr>
              <w:pStyle w:val="0"/>
              <w:jc w:val="both"/>
            </w:pPr>
            <w:r>
              <w:rPr>
                <w:sz w:val="20"/>
              </w:rPr>
              <w:t xml:space="preserve">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r>
    </w:tbl>
    <w:p>
      <w:pPr>
        <w:pStyle w:val="0"/>
        <w:jc w:val="both"/>
      </w:pPr>
      <w:r>
        <w:rPr>
          <w:sz w:val="20"/>
        </w:rPr>
      </w:r>
    </w:p>
    <w:p>
      <w:pPr>
        <w:pStyle w:val="2"/>
        <w:outlineLvl w:val="1"/>
        <w:jc w:val="center"/>
      </w:pPr>
      <w:r>
        <w:rPr>
          <w:sz w:val="20"/>
        </w:rPr>
        <w:t xml:space="preserve">III. Показатели, характеризующие доступность</w:t>
      </w:r>
    </w:p>
    <w:p>
      <w:pPr>
        <w:pStyle w:val="2"/>
        <w:jc w:val="center"/>
      </w:pPr>
      <w:r>
        <w:rPr>
          <w:sz w:val="20"/>
        </w:rPr>
        <w:t xml:space="preserve">образовательной деятельности для инвалидов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8447"/>
      </w:tblGrid>
      <w:tr>
        <w:tc>
          <w:tcPr>
            <w:tcW w:w="624" w:type="dxa"/>
          </w:tcPr>
          <w:p>
            <w:pPr>
              <w:pStyle w:val="0"/>
              <w:jc w:val="center"/>
            </w:pPr>
            <w:r>
              <w:rPr>
                <w:sz w:val="20"/>
              </w:rPr>
              <w:t xml:space="preserve">N п/п</w:t>
            </w:r>
          </w:p>
        </w:tc>
        <w:tc>
          <w:tcPr>
            <w:tcW w:w="8447" w:type="dxa"/>
          </w:tcPr>
          <w:p>
            <w:pPr>
              <w:pStyle w:val="0"/>
              <w:jc w:val="center"/>
            </w:pPr>
            <w:r>
              <w:rPr>
                <w:sz w:val="20"/>
              </w:rPr>
              <w:t xml:space="preserve">Показатели</w:t>
            </w:r>
          </w:p>
        </w:tc>
      </w:tr>
      <w:tr>
        <w:tc>
          <w:tcPr>
            <w:tcW w:w="624" w:type="dxa"/>
            <w:vAlign w:val="center"/>
          </w:tcPr>
          <w:p>
            <w:pPr>
              <w:pStyle w:val="0"/>
              <w:jc w:val="center"/>
            </w:pPr>
            <w:r>
              <w:rPr>
                <w:sz w:val="20"/>
              </w:rPr>
              <w:t xml:space="preserve">3.1.</w:t>
            </w:r>
          </w:p>
        </w:tc>
        <w:tc>
          <w:tcPr>
            <w:tcW w:w="8447" w:type="dxa"/>
          </w:tcPr>
          <w:p>
            <w:pPr>
              <w:pStyle w:val="0"/>
              <w:jc w:val="both"/>
            </w:pPr>
            <w:r>
              <w:rPr>
                <w:sz w:val="20"/>
              </w:rPr>
              <w:t xml:space="preserve">Оборудование территории, прилегающей к зданиям организации, и помещений с учетом доступности для инвалидов:</w:t>
            </w:r>
          </w:p>
          <w:p>
            <w:pPr>
              <w:pStyle w:val="0"/>
              <w:jc w:val="both"/>
            </w:pPr>
            <w:r>
              <w:rPr>
                <w:sz w:val="20"/>
              </w:rPr>
              <w:t xml:space="preserve">- оборудование входных групп пандусами (подъемными платформами);</w:t>
            </w:r>
          </w:p>
          <w:p>
            <w:pPr>
              <w:pStyle w:val="0"/>
              <w:jc w:val="both"/>
            </w:pPr>
            <w:r>
              <w:rPr>
                <w:sz w:val="20"/>
              </w:rPr>
              <w:t xml:space="preserve">- наличие выделенных стоянок для автотранспортных средств инвалидов;</w:t>
            </w:r>
          </w:p>
          <w:p>
            <w:pPr>
              <w:pStyle w:val="0"/>
              <w:jc w:val="both"/>
            </w:pPr>
            <w:r>
              <w:rPr>
                <w:sz w:val="20"/>
              </w:rPr>
              <w:t xml:space="preserve">- наличие адаптированных лифтов, поручней, расширенных дверных проемов;</w:t>
            </w:r>
          </w:p>
          <w:p>
            <w:pPr>
              <w:pStyle w:val="0"/>
              <w:jc w:val="both"/>
            </w:pPr>
            <w:r>
              <w:rPr>
                <w:sz w:val="20"/>
              </w:rPr>
              <w:t xml:space="preserve">- наличие сменных кресел-колясок;</w:t>
            </w:r>
          </w:p>
          <w:p>
            <w:pPr>
              <w:pStyle w:val="0"/>
              <w:jc w:val="both"/>
            </w:pPr>
            <w:r>
              <w:rPr>
                <w:sz w:val="20"/>
              </w:rPr>
              <w:t xml:space="preserve">- наличие специально оборудованных санитарно-гигиенических помещений в организации</w:t>
            </w:r>
          </w:p>
        </w:tc>
      </w:tr>
      <w:tr>
        <w:tc>
          <w:tcPr>
            <w:tcW w:w="624" w:type="dxa"/>
            <w:vAlign w:val="center"/>
          </w:tcPr>
          <w:p>
            <w:pPr>
              <w:pStyle w:val="0"/>
              <w:jc w:val="center"/>
            </w:pPr>
            <w:r>
              <w:rPr>
                <w:sz w:val="20"/>
              </w:rPr>
              <w:t xml:space="preserve">3.2.</w:t>
            </w:r>
          </w:p>
        </w:tc>
        <w:tc>
          <w:tcPr>
            <w:tcW w:w="8447" w:type="dxa"/>
          </w:tcPr>
          <w:p>
            <w:pPr>
              <w:pStyle w:val="0"/>
              <w:jc w:val="both"/>
            </w:pPr>
            <w:r>
              <w:rPr>
                <w:sz w:val="20"/>
              </w:rPr>
              <w:t xml:space="preserve">Обеспечение в организации условий доступности, позволяющих инвалидам получать образовательные услуги наравне с другими:</w:t>
            </w:r>
          </w:p>
          <w:p>
            <w:pPr>
              <w:pStyle w:val="0"/>
              <w:jc w:val="both"/>
            </w:pPr>
            <w:r>
              <w:rPr>
                <w:sz w:val="20"/>
              </w:rPr>
              <w:t xml:space="preserve">- дублирование для инвалидов по слуху и зрению звуковой и зрительной информации;</w:t>
            </w:r>
          </w:p>
          <w:p>
            <w:pPr>
              <w:pStyle w:val="0"/>
              <w:jc w:val="both"/>
            </w:pPr>
            <w:r>
              <w:rPr>
                <w:sz w:val="20"/>
              </w:rPr>
              <w:t xml:space="preserve">- дублирование надписей, знаков и иной текстовой и графической информации знаками, выполненными рельефно-точечным шрифтом Брайля;</w:t>
            </w:r>
          </w:p>
          <w:p>
            <w:pPr>
              <w:pStyle w:val="0"/>
              <w:jc w:val="both"/>
            </w:pPr>
            <w:r>
              <w:rPr>
                <w:sz w:val="20"/>
              </w:rPr>
              <w:t xml:space="preserve">- возможность предоставления инвалидам по слуху (слуху и зрению) услуг сурдопереводчика (тифлосурдопереводчика);</w:t>
            </w:r>
          </w:p>
          <w:p>
            <w:pPr>
              <w:pStyle w:val="0"/>
              <w:jc w:val="both"/>
            </w:pPr>
            <w:r>
              <w:rPr>
                <w:sz w:val="20"/>
              </w:rPr>
              <w:t xml:space="preserve">- альтернативной версии сайта организации для инвалидов по зрению;</w:t>
            </w:r>
          </w:p>
          <w:p>
            <w:pPr>
              <w:pStyle w:val="0"/>
              <w:jc w:val="both"/>
            </w:pPr>
            <w:r>
              <w:rPr>
                <w:sz w:val="20"/>
              </w:rPr>
              <w:t xml:space="preserve">-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pPr>
              <w:pStyle w:val="0"/>
              <w:jc w:val="both"/>
            </w:pPr>
            <w:r>
              <w:rPr>
                <w:sz w:val="20"/>
              </w:rPr>
              <w:t xml:space="preserve">- возможность предоставления образовательных услуг в дистанционном режиме или на дому</w:t>
            </w:r>
          </w:p>
        </w:tc>
      </w:tr>
      <w:tr>
        <w:tc>
          <w:tcPr>
            <w:tcW w:w="624" w:type="dxa"/>
            <w:vAlign w:val="center"/>
          </w:tcPr>
          <w:p>
            <w:pPr>
              <w:pStyle w:val="0"/>
              <w:jc w:val="center"/>
            </w:pPr>
            <w:r>
              <w:rPr>
                <w:sz w:val="20"/>
              </w:rPr>
              <w:t xml:space="preserve">3.3.</w:t>
            </w:r>
          </w:p>
        </w:tc>
        <w:tc>
          <w:tcPr>
            <w:tcW w:w="8447" w:type="dxa"/>
          </w:tcPr>
          <w:p>
            <w:pPr>
              <w:pStyle w:val="0"/>
              <w:jc w:val="both"/>
            </w:pPr>
            <w:r>
              <w:rPr>
                <w:sz w:val="20"/>
              </w:rPr>
              <w:t xml:space="preserve">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r>
    </w:tbl>
    <w:p>
      <w:pPr>
        <w:pStyle w:val="0"/>
        <w:jc w:val="both"/>
      </w:pPr>
      <w:r>
        <w:rPr>
          <w:sz w:val="20"/>
        </w:rPr>
      </w:r>
    </w:p>
    <w:p>
      <w:pPr>
        <w:pStyle w:val="2"/>
        <w:outlineLvl w:val="1"/>
        <w:jc w:val="center"/>
      </w:pPr>
      <w:r>
        <w:rPr>
          <w:sz w:val="20"/>
        </w:rPr>
        <w:t xml:space="preserve">IV. Показатели, характеризующие доброжелательность,</w:t>
      </w:r>
    </w:p>
    <w:p>
      <w:pPr>
        <w:pStyle w:val="2"/>
        <w:jc w:val="center"/>
      </w:pPr>
      <w:r>
        <w:rPr>
          <w:sz w:val="20"/>
        </w:rPr>
        <w:t xml:space="preserve">вежливость работников организации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8447"/>
      </w:tblGrid>
      <w:tr>
        <w:tc>
          <w:tcPr>
            <w:tcW w:w="624" w:type="dxa"/>
          </w:tcPr>
          <w:p>
            <w:pPr>
              <w:pStyle w:val="0"/>
              <w:jc w:val="center"/>
            </w:pPr>
            <w:r>
              <w:rPr>
                <w:sz w:val="20"/>
              </w:rPr>
              <w:t xml:space="preserve">N п/п</w:t>
            </w:r>
          </w:p>
        </w:tc>
        <w:tc>
          <w:tcPr>
            <w:tcW w:w="8447" w:type="dxa"/>
          </w:tcPr>
          <w:p>
            <w:pPr>
              <w:pStyle w:val="0"/>
              <w:jc w:val="center"/>
            </w:pPr>
            <w:r>
              <w:rPr>
                <w:sz w:val="20"/>
              </w:rPr>
              <w:t xml:space="preserve">Показатели</w:t>
            </w:r>
          </w:p>
        </w:tc>
      </w:tr>
      <w:tr>
        <w:tc>
          <w:tcPr>
            <w:tcW w:w="624" w:type="dxa"/>
            <w:vAlign w:val="center"/>
          </w:tcPr>
          <w:p>
            <w:pPr>
              <w:pStyle w:val="0"/>
              <w:jc w:val="center"/>
            </w:pPr>
            <w:r>
              <w:rPr>
                <w:sz w:val="20"/>
              </w:rPr>
              <w:t xml:space="preserve">4.1.</w:t>
            </w:r>
          </w:p>
        </w:tc>
        <w:tc>
          <w:tcPr>
            <w:tcW w:w="8447" w:type="dxa"/>
          </w:tcPr>
          <w:p>
            <w:pPr>
              <w:pStyle w:val="0"/>
              <w:jc w:val="both"/>
            </w:pPr>
            <w:r>
              <w:rPr>
                <w:sz w:val="20"/>
              </w:rPr>
              <w:t xml:space="preserve">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tc>
      </w:tr>
      <w:tr>
        <w:tc>
          <w:tcPr>
            <w:tcW w:w="624" w:type="dxa"/>
            <w:vAlign w:val="center"/>
          </w:tcPr>
          <w:p>
            <w:pPr>
              <w:pStyle w:val="0"/>
              <w:jc w:val="center"/>
            </w:pPr>
            <w:r>
              <w:rPr>
                <w:sz w:val="20"/>
              </w:rPr>
              <w:t xml:space="preserve">4.2.</w:t>
            </w:r>
          </w:p>
        </w:tc>
        <w:tc>
          <w:tcPr>
            <w:tcW w:w="8447" w:type="dxa"/>
          </w:tcPr>
          <w:p>
            <w:pPr>
              <w:pStyle w:val="0"/>
              <w:jc w:val="both"/>
            </w:pPr>
            <w:r>
              <w:rPr>
                <w:sz w:val="20"/>
              </w:rPr>
              <w:t xml:space="preserve">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tc>
      </w:tr>
      <w:tr>
        <w:tc>
          <w:tcPr>
            <w:tcW w:w="624" w:type="dxa"/>
            <w:vAlign w:val="center"/>
          </w:tcPr>
          <w:p>
            <w:pPr>
              <w:pStyle w:val="0"/>
              <w:jc w:val="center"/>
            </w:pPr>
            <w:r>
              <w:rPr>
                <w:sz w:val="20"/>
              </w:rPr>
              <w:t xml:space="preserve">4.3.</w:t>
            </w:r>
          </w:p>
        </w:tc>
        <w:tc>
          <w:tcPr>
            <w:tcW w:w="8447" w:type="dxa"/>
          </w:tcPr>
          <w:p>
            <w:pPr>
              <w:pStyle w:val="0"/>
              <w:jc w:val="both"/>
            </w:pPr>
            <w:r>
              <w:rPr>
                <w:sz w:val="20"/>
              </w:rPr>
              <w:t xml:space="preserve">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r>
    </w:tbl>
    <w:p>
      <w:pPr>
        <w:pStyle w:val="0"/>
        <w:jc w:val="both"/>
      </w:pPr>
      <w:r>
        <w:rPr>
          <w:sz w:val="20"/>
        </w:rPr>
      </w:r>
    </w:p>
    <w:p>
      <w:pPr>
        <w:pStyle w:val="2"/>
        <w:outlineLvl w:val="1"/>
        <w:jc w:val="center"/>
      </w:pPr>
      <w:r>
        <w:rPr>
          <w:sz w:val="20"/>
        </w:rPr>
        <w:t xml:space="preserve">V. Показатели, характеризующие удовлетворенность условиями</w:t>
      </w:r>
    </w:p>
    <w:p>
      <w:pPr>
        <w:pStyle w:val="2"/>
        <w:jc w:val="center"/>
      </w:pPr>
      <w:r>
        <w:rPr>
          <w:sz w:val="20"/>
        </w:rPr>
        <w:t xml:space="preserve">осуществления образовательной деятельности организаций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8447"/>
      </w:tblGrid>
      <w:tr>
        <w:tc>
          <w:tcPr>
            <w:tcW w:w="624" w:type="dxa"/>
          </w:tcPr>
          <w:p>
            <w:pPr>
              <w:pStyle w:val="0"/>
              <w:jc w:val="center"/>
            </w:pPr>
            <w:r>
              <w:rPr>
                <w:sz w:val="20"/>
              </w:rPr>
              <w:t xml:space="preserve">N п/п</w:t>
            </w:r>
          </w:p>
        </w:tc>
        <w:tc>
          <w:tcPr>
            <w:tcW w:w="8447" w:type="dxa"/>
          </w:tcPr>
          <w:p>
            <w:pPr>
              <w:pStyle w:val="0"/>
              <w:jc w:val="center"/>
            </w:pPr>
            <w:r>
              <w:rPr>
                <w:sz w:val="20"/>
              </w:rPr>
              <w:t xml:space="preserve">Показатели</w:t>
            </w:r>
          </w:p>
        </w:tc>
      </w:tr>
      <w:tr>
        <w:tc>
          <w:tcPr>
            <w:tcW w:w="624" w:type="dxa"/>
            <w:vAlign w:val="center"/>
          </w:tcPr>
          <w:p>
            <w:pPr>
              <w:pStyle w:val="0"/>
              <w:jc w:val="center"/>
            </w:pPr>
            <w:r>
              <w:rPr>
                <w:sz w:val="20"/>
              </w:rPr>
              <w:t xml:space="preserve">5.1.</w:t>
            </w:r>
          </w:p>
        </w:tc>
        <w:tc>
          <w:tcPr>
            <w:tcW w:w="8447" w:type="dxa"/>
          </w:tcPr>
          <w:p>
            <w:pPr>
              <w:pStyle w:val="0"/>
              <w:jc w:val="both"/>
            </w:pPr>
            <w:r>
              <w:rPr>
                <w:sz w:val="20"/>
              </w:rPr>
              <w:t xml:space="preserve">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r>
      <w:tr>
        <w:tc>
          <w:tcPr>
            <w:tcW w:w="624" w:type="dxa"/>
            <w:vAlign w:val="center"/>
          </w:tcPr>
          <w:p>
            <w:pPr>
              <w:pStyle w:val="0"/>
              <w:jc w:val="center"/>
            </w:pPr>
            <w:r>
              <w:rPr>
                <w:sz w:val="20"/>
              </w:rPr>
              <w:t xml:space="preserve">5.2.</w:t>
            </w:r>
          </w:p>
        </w:tc>
        <w:tc>
          <w:tcPr>
            <w:tcW w:w="8447" w:type="dxa"/>
          </w:tcPr>
          <w:p>
            <w:pPr>
              <w:pStyle w:val="0"/>
              <w:jc w:val="both"/>
            </w:pPr>
            <w:r>
              <w:rPr>
                <w:sz w:val="20"/>
              </w:rPr>
              <w:t xml:space="preserve">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r>
      <w:tr>
        <w:tc>
          <w:tcPr>
            <w:tcW w:w="624" w:type="dxa"/>
            <w:vAlign w:val="center"/>
          </w:tcPr>
          <w:p>
            <w:pPr>
              <w:pStyle w:val="0"/>
              <w:jc w:val="center"/>
            </w:pPr>
            <w:r>
              <w:rPr>
                <w:sz w:val="20"/>
              </w:rPr>
              <w:t xml:space="preserve">5.3.</w:t>
            </w:r>
          </w:p>
        </w:tc>
        <w:tc>
          <w:tcPr>
            <w:tcW w:w="8447" w:type="dxa"/>
          </w:tcPr>
          <w:p>
            <w:pPr>
              <w:pStyle w:val="0"/>
              <w:jc w:val="both"/>
            </w:pPr>
            <w:r>
              <w:rPr>
                <w:sz w:val="20"/>
              </w:rPr>
              <w:t xml:space="preserve">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13.03.2019 N 114</w:t>
            <w:br/>
            <w:t>"Об утверждении показателей, характеризующих общие критерии оценки каче...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05.09.2024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0734&amp;dst=100070" TargetMode = "External"/>
	<Relationship Id="rId8" Type="http://schemas.openxmlformats.org/officeDocument/2006/relationships/hyperlink" Target="https://login.consultant.ru/link/?req=doc&amp;base=LAW&amp;n=482648&amp;dst=100411" TargetMode = "External"/>
	<Relationship Id="rId9" Type="http://schemas.openxmlformats.org/officeDocument/2006/relationships/hyperlink" Target="https://login.consultant.ru/link/?req=doc&amp;base=LAW&amp;n=35726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13.03.2019 N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(Зарегистрировано в Минюсте России 25.04.2019 N 54499)</dc:title>
  <dcterms:created xsi:type="dcterms:W3CDTF">2024-09-05T08:25:56Z</dcterms:created>
</cp:coreProperties>
</file>